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5C652" w14:textId="77777777" w:rsidR="00FD466E" w:rsidRDefault="00FD466E" w:rsidP="00FD466E">
      <w:pPr>
        <w:shd w:val="clear" w:color="auto" w:fill="FFFFFF"/>
        <w:spacing w:line="264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Arial" w:hAnsi="Arial" w:cs="Arial"/>
          <w:color w:val="222222"/>
          <w:bdr w:val="none" w:sz="0" w:space="0" w:color="auto" w:frame="1"/>
        </w:rPr>
        <w:t>Se explicarán otros temas de interés como ley anti lavado, protección de datos personales, importancia del aviso de privacidad y derechos ARCO. Lo anterior con la finalidad que las organizaciones de la sociedad civil conozcan las obligaciones que deben cumplir en estos rubros y evitar riesgos a los que puedan incurrir.</w:t>
      </w:r>
    </w:p>
    <w:p w14:paraId="68A5EC50" w14:textId="77777777" w:rsidR="00FD466E" w:rsidRDefault="00FD466E" w:rsidP="00FD466E">
      <w:pPr>
        <w:shd w:val="clear" w:color="auto" w:fill="FFFFFF"/>
        <w:spacing w:line="276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Calibri" w:hAnsi="Calibri" w:cs="Calibri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bdr w:val="none" w:sz="0" w:space="0" w:color="auto" w:frame="1"/>
        </w:rPr>
        <w:t>1. Ley Anti lavado</w:t>
      </w:r>
      <w:r>
        <w:rPr>
          <w:rFonts w:ascii="MS PGothic" w:eastAsia="MS PGothic" w:hAnsi="MS PGothic" w:cs="Calibri" w:hint="eastAsia"/>
          <w:color w:val="222222"/>
          <w:bdr w:val="none" w:sz="0" w:space="0" w:color="auto" w:frame="1"/>
        </w:rPr>
        <w:t> </w:t>
      </w:r>
    </w:p>
    <w:p w14:paraId="40679F91" w14:textId="77777777" w:rsidR="00FD466E" w:rsidRDefault="00FD466E" w:rsidP="00FD466E">
      <w:pPr>
        <w:shd w:val="clear" w:color="auto" w:fill="FFFFFF"/>
        <w:spacing w:line="80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</w:p>
    <w:p w14:paraId="626143BB" w14:textId="77777777" w:rsidR="00FD466E" w:rsidRDefault="00FD466E" w:rsidP="00FD466E">
      <w:pPr>
        <w:shd w:val="clear" w:color="auto" w:fill="FFFFFF"/>
        <w:spacing w:line="240" w:lineRule="auto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Arial" w:hAnsi="Arial" w:cs="Arial"/>
          <w:color w:val="222222"/>
          <w:bdr w:val="none" w:sz="0" w:space="0" w:color="auto" w:frame="1"/>
        </w:rPr>
        <w:t>a. Las OSC como sujetos obligados en la Ley Anti Lavado.</w:t>
      </w:r>
    </w:p>
    <w:p w14:paraId="487056C4" w14:textId="77777777" w:rsidR="00FD466E" w:rsidRDefault="00FD466E" w:rsidP="00FD466E">
      <w:pPr>
        <w:shd w:val="clear" w:color="auto" w:fill="FFFFFF"/>
        <w:spacing w:line="60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</w:p>
    <w:p w14:paraId="18BD8462" w14:textId="77777777" w:rsidR="00FD466E" w:rsidRDefault="00FD466E" w:rsidP="00FD466E">
      <w:pPr>
        <w:shd w:val="clear" w:color="auto" w:fill="FFFFFF"/>
        <w:spacing w:line="340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Arial" w:hAnsi="Arial" w:cs="Arial"/>
          <w:color w:val="222222"/>
          <w:bdr w:val="none" w:sz="0" w:space="0" w:color="auto" w:frame="1"/>
        </w:rPr>
        <w:t>b. Identificación de actividades vulnerables de las OSC y presentación de avisos.</w:t>
      </w:r>
      <w:r>
        <w:rPr>
          <w:rFonts w:ascii="MS PGothic" w:eastAsia="MS PGothic" w:hAnsi="MS PGothic" w:cs="Calibri" w:hint="eastAsia"/>
          <w:color w:val="222222"/>
          <w:bdr w:val="none" w:sz="0" w:space="0" w:color="auto" w:frame="1"/>
        </w:rPr>
        <w:t> </w:t>
      </w:r>
      <w:r>
        <w:rPr>
          <w:rFonts w:ascii="Arial" w:hAnsi="Arial" w:cs="Arial"/>
          <w:color w:val="222222"/>
          <w:bdr w:val="none" w:sz="0" w:space="0" w:color="auto" w:frame="1"/>
        </w:rPr>
        <w:t> </w:t>
      </w:r>
      <w:r>
        <w:rPr>
          <w:rFonts w:ascii="Calibri" w:hAnsi="Calibri" w:cs="Calibri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bdr w:val="none" w:sz="0" w:space="0" w:color="auto" w:frame="1"/>
        </w:rPr>
        <w:t>c. Visitas de verificación y sanciones.</w:t>
      </w:r>
      <w:r>
        <w:rPr>
          <w:rFonts w:ascii="MS PGothic" w:eastAsia="MS PGothic" w:hAnsi="MS PGothic" w:cs="Calibri" w:hint="eastAsia"/>
          <w:color w:val="222222"/>
          <w:bdr w:val="none" w:sz="0" w:space="0" w:color="auto" w:frame="1"/>
        </w:rPr>
        <w:t> </w:t>
      </w:r>
    </w:p>
    <w:p w14:paraId="398C5BA6" w14:textId="77777777" w:rsidR="00FD466E" w:rsidRDefault="00FD466E" w:rsidP="00FD466E">
      <w:pPr>
        <w:shd w:val="clear" w:color="auto" w:fill="FFFFFF"/>
        <w:spacing w:line="2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</w:p>
    <w:p w14:paraId="58A4C40C" w14:textId="77777777" w:rsidR="00FD466E" w:rsidRDefault="00FD466E" w:rsidP="00FD466E">
      <w:pPr>
        <w:shd w:val="clear" w:color="auto" w:fill="FFFFFF"/>
        <w:spacing w:line="241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MS PGothic" w:eastAsia="MS PGothic" w:hAnsi="MS PGothic" w:cs="Calibri" w:hint="eastAsia"/>
          <w:color w:val="222222"/>
          <w:bdr w:val="none" w:sz="0" w:space="0" w:color="auto" w:frame="1"/>
        </w:rPr>
        <w:t> </w:t>
      </w:r>
    </w:p>
    <w:p w14:paraId="4401EAE8" w14:textId="77777777" w:rsidR="00FD466E" w:rsidRDefault="00FD466E" w:rsidP="00FD466E">
      <w:pPr>
        <w:shd w:val="clear" w:color="auto" w:fill="FFFFFF"/>
        <w:spacing w:line="100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</w:p>
    <w:p w14:paraId="189DAB5D" w14:textId="77777777" w:rsidR="00FD466E" w:rsidRDefault="00FD466E" w:rsidP="00FD466E">
      <w:pPr>
        <w:shd w:val="clear" w:color="auto" w:fill="FFFFFF"/>
        <w:spacing w:line="276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Arial" w:hAnsi="Arial" w:cs="Arial"/>
          <w:color w:val="222222"/>
          <w:bdr w:val="none" w:sz="0" w:space="0" w:color="auto" w:frame="1"/>
        </w:rPr>
        <w:t>2. Protección de datos personales en posesión de particulares.</w:t>
      </w:r>
      <w:r>
        <w:rPr>
          <w:rFonts w:ascii="MS PGothic" w:eastAsia="MS PGothic" w:hAnsi="MS PGothic" w:cs="Calibri" w:hint="eastAsia"/>
          <w:color w:val="222222"/>
          <w:bdr w:val="none" w:sz="0" w:space="0" w:color="auto" w:frame="1"/>
        </w:rPr>
        <w:t> </w:t>
      </w:r>
    </w:p>
    <w:p w14:paraId="73C3C388" w14:textId="77777777" w:rsidR="00FD466E" w:rsidRDefault="00FD466E" w:rsidP="00FD466E">
      <w:pPr>
        <w:shd w:val="clear" w:color="auto" w:fill="FFFFFF"/>
        <w:spacing w:line="64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</w:p>
    <w:p w14:paraId="383133D0" w14:textId="77777777" w:rsidR="00FD466E" w:rsidRDefault="00FD466E" w:rsidP="00FD466E">
      <w:pPr>
        <w:shd w:val="clear" w:color="auto" w:fill="FFFFFF"/>
        <w:spacing w:line="329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Arial" w:hAnsi="Arial" w:cs="Arial"/>
          <w:color w:val="222222"/>
          <w:bdr w:val="none" w:sz="0" w:space="0" w:color="auto" w:frame="1"/>
        </w:rPr>
        <w:t>a. Quienes son sujetos obligados por la Ley Federal de Protección de Datos Personales y cuáles son sus obligaciones.</w:t>
      </w:r>
      <w:r>
        <w:rPr>
          <w:rFonts w:ascii="MS PGothic" w:eastAsia="MS PGothic" w:hAnsi="MS PGothic" w:cs="Calibri" w:hint="eastAsia"/>
          <w:color w:val="222222"/>
          <w:bdr w:val="none" w:sz="0" w:space="0" w:color="auto" w:frame="1"/>
        </w:rPr>
        <w:t> </w:t>
      </w:r>
    </w:p>
    <w:p w14:paraId="529D92B2" w14:textId="77777777" w:rsidR="00FD466E" w:rsidRDefault="00FD466E" w:rsidP="00FD466E">
      <w:pPr>
        <w:shd w:val="clear" w:color="auto" w:fill="FFFFFF"/>
        <w:spacing w:line="2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</w:p>
    <w:p w14:paraId="0211923B" w14:textId="77777777" w:rsidR="00FD466E" w:rsidRDefault="00FD466E" w:rsidP="00FD466E">
      <w:pPr>
        <w:shd w:val="clear" w:color="auto" w:fill="FFFFFF"/>
        <w:spacing w:line="276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Arial" w:hAnsi="Arial" w:cs="Arial"/>
          <w:color w:val="222222"/>
          <w:bdr w:val="none" w:sz="0" w:space="0" w:color="auto" w:frame="1"/>
        </w:rPr>
        <w:t>b. Que son los datos personales.</w:t>
      </w:r>
      <w:r>
        <w:rPr>
          <w:rFonts w:ascii="MS PGothic" w:eastAsia="MS PGothic" w:hAnsi="MS PGothic" w:cs="Calibri" w:hint="eastAsia"/>
          <w:color w:val="222222"/>
          <w:bdr w:val="none" w:sz="0" w:space="0" w:color="auto" w:frame="1"/>
        </w:rPr>
        <w:t> </w:t>
      </w:r>
    </w:p>
    <w:p w14:paraId="7723938F" w14:textId="77777777" w:rsidR="00FD466E" w:rsidRDefault="00FD466E" w:rsidP="00FD466E">
      <w:pPr>
        <w:shd w:val="clear" w:color="auto" w:fill="FFFFFF"/>
        <w:spacing w:line="64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</w:p>
    <w:p w14:paraId="2AE0C2A6" w14:textId="77777777" w:rsidR="00FD466E" w:rsidRDefault="00FD466E" w:rsidP="00FD466E">
      <w:pPr>
        <w:shd w:val="clear" w:color="auto" w:fill="FFFFFF"/>
        <w:spacing w:line="329" w:lineRule="atLeast"/>
        <w:textAlignment w:val="baseline"/>
        <w:rPr>
          <w:rFonts w:ascii="Calibri" w:hAnsi="Calibri" w:cs="Calibri"/>
          <w:color w:val="222222"/>
          <w:sz w:val="20"/>
          <w:szCs w:val="20"/>
        </w:rPr>
      </w:pPr>
      <w:r>
        <w:rPr>
          <w:rFonts w:ascii="Arial" w:hAnsi="Arial" w:cs="Arial"/>
          <w:color w:val="222222"/>
          <w:bdr w:val="none" w:sz="0" w:space="0" w:color="auto" w:frame="1"/>
        </w:rPr>
        <w:t>c. Importancia del Aviso de Privacidad y su contenido.</w:t>
      </w:r>
      <w:r>
        <w:rPr>
          <w:rFonts w:ascii="Calibri" w:hAnsi="Calibri" w:cs="Calibri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bdr w:val="none" w:sz="0" w:space="0" w:color="auto" w:frame="1"/>
        </w:rPr>
        <w:t>d. Derecho ARCO.</w:t>
      </w:r>
      <w:r>
        <w:rPr>
          <w:rFonts w:ascii="Calibri" w:hAnsi="Calibri" w:cs="Calibri"/>
          <w:color w:val="222222"/>
          <w:sz w:val="20"/>
          <w:szCs w:val="20"/>
        </w:rPr>
        <w:br/>
      </w:r>
    </w:p>
    <w:p w14:paraId="0B9821DD" w14:textId="77777777" w:rsidR="00FD466E" w:rsidRDefault="00FD466E" w:rsidP="00FD466E">
      <w:pPr>
        <w:pStyle w:val="Ttulo2"/>
        <w:shd w:val="clear" w:color="auto" w:fill="FFFFFF"/>
        <w:spacing w:before="0" w:line="329" w:lineRule="atLeast"/>
        <w:jc w:val="center"/>
        <w:textAlignment w:val="baseline"/>
        <w:rPr>
          <w:rFonts w:ascii="Calibri" w:hAnsi="Calibri" w:cs="Calibri"/>
          <w:color w:val="222222"/>
          <w:sz w:val="36"/>
          <w:szCs w:val="36"/>
        </w:rPr>
      </w:pPr>
      <w:r>
        <w:rPr>
          <w:rFonts w:ascii="Tahoma" w:hAnsi="Tahoma" w:cs="Tahoma"/>
          <w:color w:val="222222"/>
          <w:sz w:val="24"/>
          <w:szCs w:val="24"/>
          <w:bdr w:val="none" w:sz="0" w:space="0" w:color="auto" w:frame="1"/>
        </w:rPr>
        <w:t>Facilitadores Claudio Kurc y  Sebastián Morales</w:t>
      </w:r>
    </w:p>
    <w:p w14:paraId="6657E0AB" w14:textId="77777777" w:rsidR="00FD466E" w:rsidRDefault="00FD466E" w:rsidP="00FD466E">
      <w:pPr>
        <w:shd w:val="clear" w:color="auto" w:fill="FFFFFF"/>
        <w:spacing w:line="329" w:lineRule="atLeast"/>
        <w:jc w:val="both"/>
        <w:textAlignment w:val="baseline"/>
        <w:rPr>
          <w:rFonts w:ascii="Times New Roman" w:hAnsi="Times New Roman" w:cs="Times New Roman"/>
          <w:color w:val="222222"/>
        </w:rPr>
      </w:pPr>
      <w:r>
        <w:rPr>
          <w:rFonts w:ascii="Tahoma" w:hAnsi="Tahoma" w:cs="Tahoma"/>
          <w:color w:val="222222"/>
          <w:bdr w:val="none" w:sz="0" w:space="0" w:color="auto" w:frame="1"/>
        </w:rPr>
        <w:t>Claudio Kurc Citrin se incorporó a Galicia Abogados en el año 2017 y es asociado en el área de Bancario y Regulatorio. Su práctica profesional se enfoca principalmente en el área bancaria y regulatoria, asesorando a instituciones financieras, tanto nacionales como internacionales, en temas regulatorios, créditos, fusiones y adquisiciones, entre otros. Asimismo, ha participado en diversos proyectos relacionados con la asesoría en materia de protección de datos, prevención de lavado de dinero e instituciones de tecnología financiera.</w:t>
      </w:r>
    </w:p>
    <w:p w14:paraId="5452E19A" w14:textId="77777777" w:rsidR="00FD466E" w:rsidRDefault="00FD466E" w:rsidP="00FD466E">
      <w:pPr>
        <w:shd w:val="clear" w:color="auto" w:fill="FFFFFF"/>
        <w:spacing w:line="329" w:lineRule="atLeast"/>
        <w:jc w:val="both"/>
        <w:textAlignment w:val="baseline"/>
        <w:rPr>
          <w:color w:val="222222"/>
        </w:rPr>
      </w:pPr>
      <w:r>
        <w:rPr>
          <w:rFonts w:ascii="Tahoma" w:hAnsi="Tahoma" w:cs="Tahoma"/>
          <w:color w:val="222222"/>
          <w:bdr w:val="none" w:sz="0" w:space="0" w:color="auto" w:frame="1"/>
        </w:rPr>
        <w:t>Ha participado en diversas auditorías y revisiones de riesgo legal y regulatorio para diversas instituciones financieras. También ha trabajado con diversas entidades financieras en secondments temporales, desarrollando actividades de asesor legal interno.</w:t>
      </w:r>
    </w:p>
    <w:p w14:paraId="0AA5B6DA" w14:textId="77777777" w:rsidR="00FD466E" w:rsidRDefault="00FD466E" w:rsidP="00FD466E">
      <w:pPr>
        <w:shd w:val="clear" w:color="auto" w:fill="FFFFFF"/>
        <w:spacing w:line="329" w:lineRule="atLeast"/>
        <w:jc w:val="both"/>
        <w:textAlignment w:val="baseline"/>
        <w:rPr>
          <w:color w:val="222222"/>
        </w:rPr>
      </w:pPr>
      <w:r>
        <w:rPr>
          <w:rFonts w:ascii="Tahoma" w:hAnsi="Tahoma" w:cs="Tahoma"/>
          <w:color w:val="222222"/>
          <w:bdr w:val="none" w:sz="0" w:space="0" w:color="auto" w:frame="1"/>
        </w:rPr>
        <w:lastRenderedPageBreak/>
        <w:t>Antes de su ingreso en Galicia Abogados, A.C. trabajó para la Unidad de Banca Valores y Ahorro de la Secretaría de Hacienda y Crédito Público. Claudio estudió la licenciatura en derecho en el Instituto Tecnológico Autónomo de México (2016).</w:t>
      </w:r>
    </w:p>
    <w:p w14:paraId="12647DDF" w14:textId="77777777" w:rsidR="00FD466E" w:rsidRDefault="00FD466E" w:rsidP="00FD466E">
      <w:pPr>
        <w:shd w:val="clear" w:color="auto" w:fill="FFFFFF"/>
        <w:spacing w:line="329" w:lineRule="atLeast"/>
        <w:jc w:val="both"/>
        <w:textAlignment w:val="baseline"/>
        <w:rPr>
          <w:color w:val="222222"/>
        </w:rPr>
      </w:pPr>
      <w:r>
        <w:rPr>
          <w:rFonts w:ascii="Tahoma" w:hAnsi="Tahoma" w:cs="Tahoma"/>
          <w:color w:val="222222"/>
          <w:bdr w:val="none" w:sz="0" w:space="0" w:color="auto" w:frame="1"/>
        </w:rPr>
        <w:t>Sebastián Morales Arcelus, es asociado junior de Galicia Abogados, S.C., en donde comenzó a trabajar en 2015. Su práctica profesional se enfoca principalmente a las áreas de financiamientos de proyectos de infraestructura, asociaciones público-privadas, derecho corporativo, temas energéticos en general y temas de salud en general. En el área de infraestructura, ha asesorado tanto a instituciones financieras como a desarrolladores, en la construcción y el financiamiento de diversos proyectos, tales como carreteras, plantas de generación de energía, puertos y otras obras mayores de infraestructura. Sebastián estudio la licenciatura en derecho en la Universidad Panamericana, Campus Mixcoac, (2017) y cuenta con una especialidad en Instituciones del Derecho Mercantil por la Universidad Panamericana (2018), Campus Mixcoac.</w:t>
      </w:r>
    </w:p>
    <w:p w14:paraId="7BC2583C" w14:textId="77777777" w:rsidR="0074445E" w:rsidRPr="00FD466E" w:rsidRDefault="0074445E" w:rsidP="00FD466E">
      <w:bookmarkStart w:id="0" w:name="_GoBack"/>
      <w:bookmarkEnd w:id="0"/>
    </w:p>
    <w:sectPr w:rsidR="0074445E" w:rsidRPr="00FD466E" w:rsidSect="004A1918">
      <w:headerReference w:type="default" r:id="rId6"/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1C97D" w14:textId="77777777" w:rsidR="00A17A07" w:rsidRDefault="00A17A07" w:rsidP="004A1918">
      <w:pPr>
        <w:spacing w:after="0" w:line="240" w:lineRule="auto"/>
      </w:pPr>
      <w:r>
        <w:separator/>
      </w:r>
    </w:p>
  </w:endnote>
  <w:endnote w:type="continuationSeparator" w:id="0">
    <w:p w14:paraId="7CDEBEB3" w14:textId="77777777" w:rsidR="00A17A07" w:rsidRDefault="00A17A07" w:rsidP="004A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CB9D2" w14:textId="77777777" w:rsidR="004A1918" w:rsidRDefault="002C04A8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9898358" wp14:editId="4B808DED">
          <wp:simplePos x="0" y="0"/>
          <wp:positionH relativeFrom="margin">
            <wp:align>right</wp:align>
          </wp:positionH>
          <wp:positionV relativeFrom="paragraph">
            <wp:posOffset>-325755</wp:posOffset>
          </wp:positionV>
          <wp:extent cx="6858000" cy="1004570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seño SMVIDI Pie De Pagi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00457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3B18208" w14:textId="77777777" w:rsidR="004A1918" w:rsidRDefault="004A1918">
    <w:pPr>
      <w:pStyle w:val="Piedepgina"/>
    </w:pPr>
  </w:p>
  <w:p w14:paraId="0BD65775" w14:textId="77777777" w:rsidR="004A1918" w:rsidRDefault="004A1918">
    <w:pPr>
      <w:pStyle w:val="Piedepgina"/>
    </w:pPr>
  </w:p>
  <w:p w14:paraId="38E5E238" w14:textId="77777777" w:rsidR="004A1918" w:rsidRDefault="004A19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61C58" w14:textId="77777777" w:rsidR="00A17A07" w:rsidRDefault="00A17A07" w:rsidP="004A1918">
      <w:pPr>
        <w:spacing w:after="0" w:line="240" w:lineRule="auto"/>
      </w:pPr>
      <w:r>
        <w:separator/>
      </w:r>
    </w:p>
  </w:footnote>
  <w:footnote w:type="continuationSeparator" w:id="0">
    <w:p w14:paraId="49313B0C" w14:textId="77777777" w:rsidR="00A17A07" w:rsidRDefault="00A17A07" w:rsidP="004A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991FC" w14:textId="77777777" w:rsidR="004A1918" w:rsidRDefault="004A191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663684EA" wp14:editId="5495FFF7">
          <wp:simplePos x="0" y="0"/>
          <wp:positionH relativeFrom="column">
            <wp:posOffset>904875</wp:posOffset>
          </wp:positionH>
          <wp:positionV relativeFrom="paragraph">
            <wp:posOffset>-211455</wp:posOffset>
          </wp:positionV>
          <wp:extent cx="4857750" cy="654659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seño SMVIDI Encabez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0" cy="6546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E25CF8" w14:textId="77777777" w:rsidR="004A1918" w:rsidRDefault="004A1918">
    <w:pPr>
      <w:pStyle w:val="Encabezado"/>
    </w:pPr>
  </w:p>
  <w:p w14:paraId="10156991" w14:textId="77777777" w:rsidR="004A1918" w:rsidRDefault="004A191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C91"/>
    <w:rsid w:val="001A3569"/>
    <w:rsid w:val="00220C91"/>
    <w:rsid w:val="002534BE"/>
    <w:rsid w:val="002C04A8"/>
    <w:rsid w:val="00360742"/>
    <w:rsid w:val="004A1918"/>
    <w:rsid w:val="0074445E"/>
    <w:rsid w:val="00A17A07"/>
    <w:rsid w:val="00A70897"/>
    <w:rsid w:val="00FD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C65F5"/>
  <w15:chartTrackingRefBased/>
  <w15:docId w15:val="{32A1C6E2-08DB-4FC3-B494-BB656062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46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220C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A19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1918"/>
  </w:style>
  <w:style w:type="paragraph" w:styleId="Piedepgina">
    <w:name w:val="footer"/>
    <w:basedOn w:val="Normal"/>
    <w:link w:val="PiedepginaCar"/>
    <w:uiPriority w:val="99"/>
    <w:unhideWhenUsed/>
    <w:rsid w:val="004A19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1918"/>
  </w:style>
  <w:style w:type="character" w:customStyle="1" w:styleId="Ttulo3Car">
    <w:name w:val="Título 3 Car"/>
    <w:basedOn w:val="Fuentedeprrafopredeter"/>
    <w:link w:val="Ttulo3"/>
    <w:uiPriority w:val="9"/>
    <w:rsid w:val="00220C91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220C91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466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1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3571">
          <w:marLeft w:val="0"/>
          <w:marRight w:val="1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3071">
          <w:marLeft w:val="0"/>
          <w:marRight w:val="1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MVIDI%20Mx%20Hoja%20Membretad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SMVIDI Mx Hoja Membretada.dotx</Template>
  <TotalTime>0</TotalTime>
  <Pages>2</Pages>
  <Words>420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2</cp:revision>
  <dcterms:created xsi:type="dcterms:W3CDTF">2020-04-03T17:48:00Z</dcterms:created>
  <dcterms:modified xsi:type="dcterms:W3CDTF">2020-04-03T17:49:00Z</dcterms:modified>
</cp:coreProperties>
</file>